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17E" w:rsidRPr="0064717E" w:rsidRDefault="0064717E" w:rsidP="0064717E">
      <w:pPr>
        <w:jc w:val="center"/>
        <w:rPr>
          <w:b/>
        </w:rPr>
      </w:pPr>
      <w:r w:rsidRPr="0064717E">
        <w:rPr>
          <w:b/>
        </w:rPr>
        <w:t>ДЛЯ ЧЕГО НУЖНА РЕГИСТРАЦИЯ ЗЕМЕЛЬНОГО УЧАСТКА</w:t>
      </w:r>
      <w:r>
        <w:rPr>
          <w:b/>
        </w:rPr>
        <w:t>???</w:t>
      </w:r>
      <w:bookmarkStart w:id="0" w:name="_GoBack"/>
      <w:bookmarkEnd w:id="0"/>
    </w:p>
    <w:p w:rsidR="003C5ECD" w:rsidRDefault="00D35FC3">
      <w:r w:rsidRPr="00D35FC3">
        <w:t xml:space="preserve">При использовании земельного участка без регистрации прав садовод не сможет заключить прямой договор со сбытовой компанией как потребитель электроэнергии, разъясняет председатель «Союза садоводов Екатеринбурга» Надежда </w:t>
      </w:r>
      <w:proofErr w:type="spellStart"/>
      <w:r w:rsidRPr="00D35FC3">
        <w:t>Локтионова</w:t>
      </w:r>
      <w:proofErr w:type="spellEnd"/>
      <w:r w:rsidRPr="00D35FC3">
        <w:t>. Она рассказала «Известиям», что сегодня всё чаще садоводы на общих собраниях принимают решение о переходе на прямые договоры и расторжении договора с юридическим лицом. Это связано с большими потерями в сети, дороговизной содержания ЛЭП. Следовательно, такие садоводы рискуют остаться без электроэнергии. Такая же проблема может проявиться при газификации.</w:t>
      </w:r>
    </w:p>
    <w:p w:rsidR="00D35FC3" w:rsidRDefault="00D35FC3">
      <w:r>
        <w:rPr>
          <w:noProof/>
          <w:lang w:eastAsia="ru-RU"/>
        </w:rPr>
        <w:drawing>
          <wp:inline distT="0" distB="0" distL="0" distR="0">
            <wp:extent cx="5944266" cy="2596896"/>
            <wp:effectExtent l="0" t="0" r="0" b="0"/>
            <wp:docPr id="1" name="Рисунок 1" descr="C:\Users\Пользователь\Desktop\ZURR4260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ZURR4260 copy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95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FC3" w:rsidRDefault="00D35FC3" w:rsidP="00D35FC3">
      <w:r>
        <w:t>Екатерина Иванова напоминает, что рыночная стоимость участков с домами-невидимками значительно ниже. «Покупатели рассматривают такие сделки как заведомо рискованные и не готовы платить по рыночной стоимости. Ведь потом может выясниться, что дом попал в какую-то охранную зону и по факту является самовольной пост</w:t>
      </w:r>
      <w:r>
        <w:t>ройкой», — подчеркнула Иванова.</w:t>
      </w:r>
    </w:p>
    <w:p w:rsidR="00D35FC3" w:rsidRDefault="00D35FC3" w:rsidP="00D35FC3">
      <w:r>
        <w:t xml:space="preserve">По словам члена Научно-консультативного совета при Верховном суде РФ Леонида </w:t>
      </w:r>
      <w:proofErr w:type="spellStart"/>
      <w:r>
        <w:t>Бандорина</w:t>
      </w:r>
      <w:proofErr w:type="spellEnd"/>
      <w:r>
        <w:t>, с нынешними пробелами в законодательстве о «земле и дачах» затрагивается публичный интерес: нет регистрации на дом — значит, бюджеты не получают налога на имущество, нет регистрации на землю — соответственно, нет земельного налога.</w:t>
      </w:r>
    </w:p>
    <w:p w:rsidR="00D35FC3" w:rsidRDefault="00D35FC3" w:rsidP="00D35FC3">
      <w:r w:rsidRPr="00D35FC3">
        <w:t xml:space="preserve"> — Здесь, как представляется, сегодняшняя ситуация вполне справедлива: пока жив пожилой человек, проводящий значительную часть своей жизни на таком садовом участке, он ничего не хочет оформлять, ни за что не платит, и к нему государство не применяет никаких санкций, — говорит Леонид </w:t>
      </w:r>
      <w:proofErr w:type="spellStart"/>
      <w:r w:rsidRPr="00D35FC3">
        <w:t>Бандорин</w:t>
      </w:r>
      <w:proofErr w:type="spellEnd"/>
      <w:r w:rsidRPr="00D35FC3">
        <w:t>. — Но если он умер — передавать такое безобразие по наследству недопустимо. Поэтому наследники, если хотят вступить в права, пусть всё оформляют и платят.</w:t>
      </w:r>
    </w:p>
    <w:p w:rsidR="00D35FC3" w:rsidRDefault="00D35FC3" w:rsidP="00D35FC3">
      <w:r w:rsidRPr="00D35FC3">
        <w:t>Между тем руководитель практики недвижимости и строительства ЮК «Центральный округ» Александр Тархов отмечает, что регистрация права собственности на недвижимость имеет определяющее значение для целей свободного распоряжения ей. Ее отсутствие практически всегда приводит к невозможности продать, подарить, обменять или завещать недвижимость.</w:t>
      </w:r>
      <w:r>
        <w:t xml:space="preserve"> Но это не значит, что на таком и</w:t>
      </w:r>
      <w:r>
        <w:t>муществе можно «ставить крест».</w:t>
      </w:r>
    </w:p>
    <w:p w:rsidR="00D35FC3" w:rsidRDefault="00D35FC3" w:rsidP="00D35FC3">
      <w:r>
        <w:t xml:space="preserve">Так, пару лет назад до Верховного суда дошло дело, в котором наследник добился включения незарегистрированного наследодателем домовладения в наследственную массу. В рамках данного дела наследнику пришлось доказывать ранее возникшее право (до 1998 года) наследодателя на это недвижимое имущество, в чем ему помогла выписка из </w:t>
      </w:r>
      <w:proofErr w:type="spellStart"/>
      <w:r>
        <w:t>похозяйственной</w:t>
      </w:r>
      <w:proofErr w:type="spellEnd"/>
      <w:r>
        <w:t xml:space="preserve"> книги советских времен.</w:t>
      </w:r>
    </w:p>
    <w:p w:rsidR="00D35FC3" w:rsidRDefault="00D35FC3" w:rsidP="00D35FC3">
      <w:r w:rsidRPr="00D35FC3">
        <w:t xml:space="preserve">— Поэтому в случае, если у собственника имеются документы, подтверждающие его право на недвижимость, возникшее до 1998 года, особых проблем у него не возникнет, — утверждает Александр Тархов. — Обратная же ситуация, когда право собственности не зарегистрировано и никаких документов на недвижимость в принципе нет. Здесь уже возникнут проблемы не только с распоряжением таким имуществом, но и с его использованием, например, из-за </w:t>
      </w:r>
      <w:proofErr w:type="gramStart"/>
      <w:r w:rsidRPr="00D35FC3">
        <w:t>невозможности</w:t>
      </w:r>
      <w:proofErr w:type="gramEnd"/>
      <w:r w:rsidRPr="00D35FC3">
        <w:t xml:space="preserve"> осуществить технологическое присоединение к сетям инженерно-технического обеспечения.</w:t>
      </w:r>
    </w:p>
    <w:p w:rsidR="00D35FC3" w:rsidRDefault="00D35FC3" w:rsidP="00D35FC3"/>
    <w:sectPr w:rsidR="00D35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FC3"/>
    <w:rsid w:val="000B6B77"/>
    <w:rsid w:val="003C5ECD"/>
    <w:rsid w:val="0064717E"/>
    <w:rsid w:val="009C33A7"/>
    <w:rsid w:val="00D35FC3"/>
    <w:rsid w:val="00EC5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B6B77"/>
    <w:rPr>
      <w:rFonts w:ascii="Times New Roman" w:hAnsi="Times New Roman"/>
    </w:rPr>
  </w:style>
  <w:style w:type="paragraph" w:styleId="1">
    <w:name w:val="heading 1"/>
    <w:basedOn w:val="a"/>
    <w:link w:val="10"/>
    <w:uiPriority w:val="1"/>
    <w:qFormat/>
    <w:rsid w:val="000B6B77"/>
    <w:pPr>
      <w:spacing w:before="218"/>
      <w:ind w:left="656"/>
      <w:outlineLvl w:val="0"/>
    </w:pPr>
    <w:rPr>
      <w:rFonts w:eastAsiaTheme="majorEastAsia" w:cstheme="majorBidi"/>
      <w:b/>
      <w:bCs/>
      <w:sz w:val="24"/>
      <w:szCs w:val="24"/>
    </w:rPr>
  </w:style>
  <w:style w:type="paragraph" w:styleId="2">
    <w:name w:val="heading 2"/>
    <w:basedOn w:val="a"/>
    <w:link w:val="20"/>
    <w:uiPriority w:val="1"/>
    <w:qFormat/>
    <w:rsid w:val="000B6B77"/>
    <w:pPr>
      <w:ind w:left="682" w:firstLine="707"/>
      <w:jc w:val="both"/>
      <w:outlineLvl w:val="1"/>
    </w:pPr>
    <w:rPr>
      <w:rFonts w:eastAsia="Times New Roman" w:cs="Times New Roman"/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0B6B77"/>
    <w:pPr>
      <w:spacing w:line="210" w:lineRule="exact"/>
    </w:pPr>
  </w:style>
  <w:style w:type="character" w:customStyle="1" w:styleId="10">
    <w:name w:val="Заголовок 1 Знак"/>
    <w:basedOn w:val="a0"/>
    <w:link w:val="1"/>
    <w:uiPriority w:val="1"/>
    <w:rsid w:val="00EC5440"/>
    <w:rPr>
      <w:rFonts w:ascii="Times New Roman" w:eastAsiaTheme="majorEastAsia" w:hAnsi="Times New Roman" w:cstheme="majorBidi"/>
      <w:b/>
      <w:bCs/>
      <w:sz w:val="24"/>
      <w:szCs w:val="24"/>
    </w:rPr>
  </w:style>
  <w:style w:type="paragraph" w:styleId="a3">
    <w:name w:val="Body Text"/>
    <w:basedOn w:val="a"/>
    <w:link w:val="a4"/>
    <w:uiPriority w:val="1"/>
    <w:qFormat/>
    <w:rsid w:val="000B6B77"/>
    <w:pPr>
      <w:ind w:left="682"/>
    </w:pPr>
    <w:rPr>
      <w:rFonts w:eastAsia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EC5440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0B6B77"/>
    <w:pPr>
      <w:ind w:left="821" w:hanging="140"/>
    </w:pPr>
  </w:style>
  <w:style w:type="character" w:customStyle="1" w:styleId="20">
    <w:name w:val="Заголовок 2 Знак"/>
    <w:basedOn w:val="a0"/>
    <w:link w:val="2"/>
    <w:uiPriority w:val="1"/>
    <w:rsid w:val="000B6B77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11">
    <w:name w:val="toc 1"/>
    <w:basedOn w:val="a"/>
    <w:uiPriority w:val="1"/>
    <w:qFormat/>
    <w:rsid w:val="000B6B77"/>
    <w:pPr>
      <w:spacing w:before="116"/>
      <w:ind w:left="682"/>
    </w:pPr>
    <w:rPr>
      <w:rFonts w:eastAsia="Times New Roman" w:cs="Times New Roman"/>
      <w:sz w:val="20"/>
      <w:szCs w:val="20"/>
    </w:rPr>
  </w:style>
  <w:style w:type="paragraph" w:styleId="a6">
    <w:name w:val="Title"/>
    <w:basedOn w:val="a"/>
    <w:link w:val="a7"/>
    <w:uiPriority w:val="1"/>
    <w:qFormat/>
    <w:rsid w:val="000B6B77"/>
    <w:pPr>
      <w:spacing w:before="1"/>
      <w:ind w:left="656" w:right="825"/>
      <w:jc w:val="center"/>
    </w:pPr>
    <w:rPr>
      <w:rFonts w:eastAsia="Times New Roman" w:cs="Times New Roman"/>
      <w:sz w:val="40"/>
      <w:szCs w:val="40"/>
    </w:rPr>
  </w:style>
  <w:style w:type="character" w:customStyle="1" w:styleId="a7">
    <w:name w:val="Название Знак"/>
    <w:basedOn w:val="a0"/>
    <w:link w:val="a6"/>
    <w:uiPriority w:val="1"/>
    <w:rsid w:val="000B6B77"/>
    <w:rPr>
      <w:rFonts w:ascii="Times New Roman" w:eastAsia="Times New Roman" w:hAnsi="Times New Roman" w:cs="Times New Roman"/>
      <w:sz w:val="40"/>
      <w:szCs w:val="40"/>
    </w:rPr>
  </w:style>
  <w:style w:type="paragraph" w:styleId="a8">
    <w:name w:val="No Spacing"/>
    <w:uiPriority w:val="1"/>
    <w:qFormat/>
    <w:rsid w:val="000B6B77"/>
    <w:rPr>
      <w:rFonts w:ascii="Times New Roman" w:eastAsia="Times New Roman" w:hAnsi="Times New Roman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D35FC3"/>
    <w:pPr>
      <w:spacing w:after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35F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B6B77"/>
    <w:rPr>
      <w:rFonts w:ascii="Times New Roman" w:hAnsi="Times New Roman"/>
    </w:rPr>
  </w:style>
  <w:style w:type="paragraph" w:styleId="1">
    <w:name w:val="heading 1"/>
    <w:basedOn w:val="a"/>
    <w:link w:val="10"/>
    <w:uiPriority w:val="1"/>
    <w:qFormat/>
    <w:rsid w:val="000B6B77"/>
    <w:pPr>
      <w:spacing w:before="218"/>
      <w:ind w:left="656"/>
      <w:outlineLvl w:val="0"/>
    </w:pPr>
    <w:rPr>
      <w:rFonts w:eastAsiaTheme="majorEastAsia" w:cstheme="majorBidi"/>
      <w:b/>
      <w:bCs/>
      <w:sz w:val="24"/>
      <w:szCs w:val="24"/>
    </w:rPr>
  </w:style>
  <w:style w:type="paragraph" w:styleId="2">
    <w:name w:val="heading 2"/>
    <w:basedOn w:val="a"/>
    <w:link w:val="20"/>
    <w:uiPriority w:val="1"/>
    <w:qFormat/>
    <w:rsid w:val="000B6B77"/>
    <w:pPr>
      <w:ind w:left="682" w:firstLine="707"/>
      <w:jc w:val="both"/>
      <w:outlineLvl w:val="1"/>
    </w:pPr>
    <w:rPr>
      <w:rFonts w:eastAsia="Times New Roman" w:cs="Times New Roman"/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0B6B77"/>
    <w:pPr>
      <w:spacing w:line="210" w:lineRule="exact"/>
    </w:pPr>
  </w:style>
  <w:style w:type="character" w:customStyle="1" w:styleId="10">
    <w:name w:val="Заголовок 1 Знак"/>
    <w:basedOn w:val="a0"/>
    <w:link w:val="1"/>
    <w:uiPriority w:val="1"/>
    <w:rsid w:val="00EC5440"/>
    <w:rPr>
      <w:rFonts w:ascii="Times New Roman" w:eastAsiaTheme="majorEastAsia" w:hAnsi="Times New Roman" w:cstheme="majorBidi"/>
      <w:b/>
      <w:bCs/>
      <w:sz w:val="24"/>
      <w:szCs w:val="24"/>
    </w:rPr>
  </w:style>
  <w:style w:type="paragraph" w:styleId="a3">
    <w:name w:val="Body Text"/>
    <w:basedOn w:val="a"/>
    <w:link w:val="a4"/>
    <w:uiPriority w:val="1"/>
    <w:qFormat/>
    <w:rsid w:val="000B6B77"/>
    <w:pPr>
      <w:ind w:left="682"/>
    </w:pPr>
    <w:rPr>
      <w:rFonts w:eastAsia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EC5440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0B6B77"/>
    <w:pPr>
      <w:ind w:left="821" w:hanging="140"/>
    </w:pPr>
  </w:style>
  <w:style w:type="character" w:customStyle="1" w:styleId="20">
    <w:name w:val="Заголовок 2 Знак"/>
    <w:basedOn w:val="a0"/>
    <w:link w:val="2"/>
    <w:uiPriority w:val="1"/>
    <w:rsid w:val="000B6B77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11">
    <w:name w:val="toc 1"/>
    <w:basedOn w:val="a"/>
    <w:uiPriority w:val="1"/>
    <w:qFormat/>
    <w:rsid w:val="000B6B77"/>
    <w:pPr>
      <w:spacing w:before="116"/>
      <w:ind w:left="682"/>
    </w:pPr>
    <w:rPr>
      <w:rFonts w:eastAsia="Times New Roman" w:cs="Times New Roman"/>
      <w:sz w:val="20"/>
      <w:szCs w:val="20"/>
    </w:rPr>
  </w:style>
  <w:style w:type="paragraph" w:styleId="a6">
    <w:name w:val="Title"/>
    <w:basedOn w:val="a"/>
    <w:link w:val="a7"/>
    <w:uiPriority w:val="1"/>
    <w:qFormat/>
    <w:rsid w:val="000B6B77"/>
    <w:pPr>
      <w:spacing w:before="1"/>
      <w:ind w:left="656" w:right="825"/>
      <w:jc w:val="center"/>
    </w:pPr>
    <w:rPr>
      <w:rFonts w:eastAsia="Times New Roman" w:cs="Times New Roman"/>
      <w:sz w:val="40"/>
      <w:szCs w:val="40"/>
    </w:rPr>
  </w:style>
  <w:style w:type="character" w:customStyle="1" w:styleId="a7">
    <w:name w:val="Название Знак"/>
    <w:basedOn w:val="a0"/>
    <w:link w:val="a6"/>
    <w:uiPriority w:val="1"/>
    <w:rsid w:val="000B6B77"/>
    <w:rPr>
      <w:rFonts w:ascii="Times New Roman" w:eastAsia="Times New Roman" w:hAnsi="Times New Roman" w:cs="Times New Roman"/>
      <w:sz w:val="40"/>
      <w:szCs w:val="40"/>
    </w:rPr>
  </w:style>
  <w:style w:type="paragraph" w:styleId="a8">
    <w:name w:val="No Spacing"/>
    <w:uiPriority w:val="1"/>
    <w:qFormat/>
    <w:rsid w:val="000B6B77"/>
    <w:rPr>
      <w:rFonts w:ascii="Times New Roman" w:eastAsia="Times New Roman" w:hAnsi="Times New Roman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D35FC3"/>
    <w:pPr>
      <w:spacing w:after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35F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2023-02-02T14:10:00Z</dcterms:created>
  <dcterms:modified xsi:type="dcterms:W3CDTF">2023-02-02T14:22:00Z</dcterms:modified>
</cp:coreProperties>
</file>